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1" w:rsidRPr="0069565B" w:rsidRDefault="00045E11" w:rsidP="00045E11">
      <w:pPr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6b do </w:t>
      </w:r>
      <w:r>
        <w:rPr>
          <w:sz w:val="22"/>
          <w:szCs w:val="22"/>
        </w:rPr>
        <w:t>z</w:t>
      </w:r>
      <w:r w:rsidRPr="0069565B">
        <w:rPr>
          <w:sz w:val="22"/>
          <w:szCs w:val="22"/>
        </w:rPr>
        <w:t xml:space="preserve">arządzenia </w:t>
      </w:r>
      <w:r>
        <w:rPr>
          <w:sz w:val="22"/>
          <w:szCs w:val="22"/>
        </w:rPr>
        <w:t xml:space="preserve">nr </w:t>
      </w:r>
      <w:r>
        <w:rPr>
          <w:sz w:val="22"/>
          <w:szCs w:val="22"/>
        </w:rPr>
        <w:t>78</w:t>
      </w:r>
      <w:r w:rsidRPr="0069565B">
        <w:rPr>
          <w:sz w:val="22"/>
          <w:szCs w:val="22"/>
        </w:rPr>
        <w:t xml:space="preserve"> Rektora UJ z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t>14 lipca</w:t>
      </w:r>
      <w:r>
        <w:rPr>
          <w:sz w:val="22"/>
          <w:szCs w:val="22"/>
        </w:rPr>
        <w:t xml:space="preserve"> 2021 r.</w:t>
      </w:r>
    </w:p>
    <w:p w:rsidR="00045E11" w:rsidRPr="0069565B" w:rsidRDefault="00045E11" w:rsidP="00045E11">
      <w:pPr>
        <w:ind w:left="2944"/>
        <w:jc w:val="both"/>
        <w:rPr>
          <w:sz w:val="22"/>
          <w:szCs w:val="22"/>
        </w:rPr>
      </w:pPr>
    </w:p>
    <w:p w:rsidR="00045E11" w:rsidRPr="0069565B" w:rsidRDefault="00045E11" w:rsidP="00045E11">
      <w:pPr>
        <w:jc w:val="both"/>
        <w:rPr>
          <w:sz w:val="22"/>
          <w:szCs w:val="22"/>
        </w:rPr>
      </w:pP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POROZUMIENIE O WYMIANIE PRACOWNIKÓW</w:t>
      </w: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POMIĘDZY</w:t>
      </w: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UNIWERSYTETEM JAGIELLOŃSKIM W KRAKOWIE, POLSKA</w:t>
      </w: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[NAZWA JEDNOSTKI ORGANIZACYJNEJ UJ]</w:t>
      </w: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A</w:t>
      </w:r>
    </w:p>
    <w:p w:rsidR="00045E11" w:rsidRPr="003B4A4F" w:rsidRDefault="00045E11" w:rsidP="00045E11">
      <w:pPr>
        <w:spacing w:line="276" w:lineRule="auto"/>
        <w:ind w:right="16"/>
        <w:jc w:val="center"/>
      </w:pPr>
      <w:r w:rsidRPr="003B4A4F">
        <w:t>[</w:t>
      </w:r>
      <w:r w:rsidRPr="003B4A4F">
        <w:rPr>
          <w:b/>
        </w:rPr>
        <w:t>NAZWA ZAGRANICZNEJ INSTYTUCJI NAUKOWEJ, MIASTO I KRAJ]</w:t>
      </w:r>
    </w:p>
    <w:p w:rsidR="00045E11" w:rsidRPr="003B4A4F" w:rsidRDefault="00045E11" w:rsidP="00045E11">
      <w:pPr>
        <w:spacing w:line="276" w:lineRule="auto"/>
        <w:ind w:right="16"/>
        <w:jc w:val="center"/>
        <w:rPr>
          <w:b/>
        </w:rPr>
      </w:pPr>
      <w:r w:rsidRPr="003B4A4F">
        <w:rPr>
          <w:b/>
        </w:rPr>
        <w:t>[NAZWA JEDNOSTKI]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spacing w:line="276" w:lineRule="auto"/>
        <w:ind w:left="4"/>
        <w:jc w:val="both"/>
      </w:pPr>
      <w:r w:rsidRPr="003B4A4F">
        <w:t xml:space="preserve">Uniwersytet Jagielloński w Krakowie, [nazwa jednostki </w:t>
      </w:r>
      <w:r>
        <w:t xml:space="preserve">organizacyjnej </w:t>
      </w:r>
      <w:r w:rsidRPr="003B4A4F">
        <w:t xml:space="preserve">UJ] i [nazwa </w:t>
      </w:r>
      <w:r w:rsidRPr="00A61132">
        <w:t>zagranicznej instytucji naukowej</w:t>
      </w:r>
      <w:r w:rsidRPr="003B4A4F">
        <w:t>], [nazwa jednostki], zwane dalej „Stronami”</w:t>
      </w:r>
      <w:r>
        <w:t>,</w:t>
      </w:r>
      <w:r w:rsidRPr="003B4A4F">
        <w:t xml:space="preserve"> zawierają niniejsze Porozumienie w oparciu o zasady wzajemnego zaufania, równości i wzajemnych korzyści w celu wypracowania działań będących przedmiotem wspólnego zainteresowania.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tabs>
          <w:tab w:val="left" w:pos="3444"/>
        </w:tabs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3B4A4F">
        <w:rPr>
          <w:b/>
        </w:rPr>
        <w:t>ZAKRES WSPÓŁPRACY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</w:pPr>
      <w:r w:rsidRPr="003B4A4F">
        <w:t>Porozumienie dotyczy następujących działań: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3B4A4F">
        <w:t>wymian</w:t>
      </w:r>
      <w:r>
        <w:t>y</w:t>
      </w:r>
      <w:r w:rsidRPr="003B4A4F">
        <w:t xml:space="preserve"> </w:t>
      </w:r>
      <w:r>
        <w:t>nauczycieli akademickich, pracowników niebędących nauczycielami akademickimi</w:t>
      </w:r>
      <w:r w:rsidRPr="003B4A4F">
        <w:t>;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3B4A4F">
        <w:t>wymian</w:t>
      </w:r>
      <w:r>
        <w:t>y</w:t>
      </w:r>
      <w:r w:rsidRPr="003B4A4F">
        <w:t xml:space="preserve"> materiałów naukowych, publikacji i informacji;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3B4A4F">
        <w:t>wspóln</w:t>
      </w:r>
      <w:r>
        <w:t>ych</w:t>
      </w:r>
      <w:r w:rsidRPr="003B4A4F">
        <w:t xml:space="preserve"> konferencj</w:t>
      </w:r>
      <w:r>
        <w:t>i</w:t>
      </w:r>
      <w:r w:rsidRPr="003B4A4F">
        <w:t xml:space="preserve"> i program</w:t>
      </w:r>
      <w:r>
        <w:t>ów</w:t>
      </w:r>
      <w:r w:rsidRPr="003B4A4F">
        <w:t>;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3B4A4F">
        <w:t>wspóln</w:t>
      </w:r>
      <w:r>
        <w:t>ych</w:t>
      </w:r>
      <w:r w:rsidRPr="003B4A4F">
        <w:t xml:space="preserve"> program</w:t>
      </w:r>
      <w:r>
        <w:t>ów nauczania/</w:t>
      </w:r>
      <w:r w:rsidRPr="003B4A4F">
        <w:t>program</w:t>
      </w:r>
      <w:r>
        <w:t>ów</w:t>
      </w:r>
      <w:r w:rsidRPr="003B4A4F">
        <w:t xml:space="preserve"> prowadząc</w:t>
      </w:r>
      <w:r>
        <w:t>ych</w:t>
      </w:r>
      <w:r w:rsidRPr="003B4A4F">
        <w:t xml:space="preserve"> do podwójnego dyplomu;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24" w:hanging="364"/>
        <w:jc w:val="both"/>
      </w:pPr>
      <w:r w:rsidRPr="003B4A4F">
        <w:t>wspóln</w:t>
      </w:r>
      <w:r>
        <w:t>ych</w:t>
      </w:r>
      <w:r w:rsidRPr="003B4A4F">
        <w:t xml:space="preserve"> prac badawcz</w:t>
      </w:r>
      <w:r>
        <w:t>ych</w:t>
      </w:r>
      <w:r w:rsidRPr="003B4A4F">
        <w:t xml:space="preserve"> i publikacj</w:t>
      </w:r>
      <w:r>
        <w:t>i</w:t>
      </w:r>
      <w:r w:rsidRPr="003B4A4F">
        <w:t>;</w:t>
      </w:r>
    </w:p>
    <w:p w:rsidR="00045E11" w:rsidRPr="003B4A4F" w:rsidRDefault="00045E11" w:rsidP="00045E11">
      <w:pPr>
        <w:numPr>
          <w:ilvl w:val="0"/>
          <w:numId w:val="1"/>
        </w:numPr>
        <w:tabs>
          <w:tab w:val="left" w:pos="724"/>
        </w:tabs>
        <w:spacing w:line="276" w:lineRule="auto"/>
        <w:ind w:left="714" w:hanging="357"/>
        <w:jc w:val="both"/>
      </w:pPr>
      <w:r w:rsidRPr="003B4A4F">
        <w:t>……………………………………....</w:t>
      </w:r>
    </w:p>
    <w:p w:rsidR="00045E11" w:rsidRDefault="00045E11" w:rsidP="00045E1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</w:pPr>
      <w:r w:rsidRPr="003B4A4F">
        <w:t>Strony będą negocjować szczegóły dotyczące powyższych działań. Wszelkie warunki finansowe zależeć będą od dostępności środków i zostaną opisane w załącznikach będących integralną częścią niniejszego Porozumienia.</w:t>
      </w:r>
    </w:p>
    <w:p w:rsidR="00045E11" w:rsidRPr="003B4A4F" w:rsidRDefault="00045E11" w:rsidP="00045E1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</w:pPr>
      <w:r w:rsidRPr="003B4A4F">
        <w:t>Niniejsze Porozumienie nie obejmuje współpracy z</w:t>
      </w:r>
      <w:r>
        <w:t xml:space="preserve"> Uniwersytetem Jagiellońskim –</w:t>
      </w:r>
      <w:r w:rsidRPr="003B4A4F">
        <w:t xml:space="preserve"> Collegium Medicum.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tabs>
          <w:tab w:val="left" w:pos="1964"/>
        </w:tabs>
        <w:spacing w:line="276" w:lineRule="auto"/>
        <w:jc w:val="center"/>
        <w:rPr>
          <w:b/>
        </w:rPr>
      </w:pPr>
      <w:r>
        <w:rPr>
          <w:b/>
        </w:rPr>
        <w:t xml:space="preserve">2. </w:t>
      </w:r>
      <w:r w:rsidRPr="003B4A4F">
        <w:rPr>
          <w:b/>
        </w:rPr>
        <w:t>KRÓTKOTERMINOWA WYMIANA PRACOWNIKÓW</w:t>
      </w:r>
    </w:p>
    <w:p w:rsidR="00045E11" w:rsidRPr="003B4A4F" w:rsidRDefault="00045E11" w:rsidP="00045E11">
      <w:pPr>
        <w:spacing w:line="276" w:lineRule="auto"/>
        <w:jc w:val="both"/>
        <w:rPr>
          <w:b/>
        </w:rPr>
      </w:pPr>
    </w:p>
    <w:p w:rsidR="00045E11" w:rsidRPr="003B4A4F" w:rsidRDefault="00045E11" w:rsidP="00045E11">
      <w:pPr>
        <w:tabs>
          <w:tab w:val="left" w:pos="724"/>
        </w:tabs>
        <w:spacing w:line="276" w:lineRule="auto"/>
        <w:jc w:val="center"/>
        <w:rPr>
          <w:b/>
        </w:rPr>
      </w:pPr>
      <w:r w:rsidRPr="003B4A4F">
        <w:rPr>
          <w:b/>
        </w:rPr>
        <w:t>Warunki ogólne</w:t>
      </w:r>
    </w:p>
    <w:p w:rsidR="00045E11" w:rsidRPr="003B4A4F" w:rsidRDefault="00045E11" w:rsidP="00045E11">
      <w:pPr>
        <w:spacing w:line="276" w:lineRule="auto"/>
        <w:jc w:val="both"/>
        <w:rPr>
          <w:b/>
        </w:rPr>
      </w:pPr>
    </w:p>
    <w:p w:rsidR="00045E11" w:rsidRPr="003B4A4F" w:rsidRDefault="00045E11" w:rsidP="00045E11">
      <w:pPr>
        <w:numPr>
          <w:ilvl w:val="0"/>
          <w:numId w:val="2"/>
        </w:numPr>
        <w:tabs>
          <w:tab w:val="left" w:pos="364"/>
        </w:tabs>
        <w:spacing w:line="276" w:lineRule="auto"/>
        <w:jc w:val="both"/>
      </w:pPr>
      <w:r w:rsidRPr="003B4A4F">
        <w:t xml:space="preserve">Strony mogą skierować </w:t>
      </w:r>
      <w:r>
        <w:t>nauczycieli akademickich, pracowników niebędących nauczycielami akademickimi*</w:t>
      </w:r>
      <w:r w:rsidRPr="003B4A4F">
        <w:t xml:space="preserve"> na krótkoterminowe wizyty. Roczny limit wymiany wynosi ….. dni. / Uzgodniony limit wymiany dotyczy ….. pracowników przyjeżdżających na ….. dni dla każdej ze </w:t>
      </w:r>
      <w:r>
        <w:t>S</w:t>
      </w:r>
      <w:r w:rsidRPr="003B4A4F">
        <w:t>tron.</w:t>
      </w:r>
    </w:p>
    <w:p w:rsidR="00045E11" w:rsidRPr="00A453C1" w:rsidRDefault="00045E11" w:rsidP="00045E11">
      <w:pPr>
        <w:numPr>
          <w:ilvl w:val="0"/>
          <w:numId w:val="2"/>
        </w:numPr>
        <w:tabs>
          <w:tab w:val="left" w:pos="364"/>
        </w:tabs>
        <w:spacing w:line="276" w:lineRule="auto"/>
        <w:ind w:left="357" w:hanging="357"/>
        <w:jc w:val="both"/>
        <w:rPr>
          <w:color w:val="000000"/>
          <w:shd w:val="clear" w:color="auto" w:fill="FFFFFF"/>
        </w:rPr>
      </w:pPr>
      <w:r w:rsidRPr="003B4A4F">
        <w:t>Podczas gdy zgodnym zamiarem Stron jest osiągnięcie parytetu liczby pracowników biorących udział w wymianie, Strony dopuszczają możliwość, że w danym roku osiągnięcie parytetu może okazać się niemożliwe. W okresie obowiązywania niniejszego Porozumienia podjęte zostaną wszelkie wysiłki w celu osiągnięcia parytetu.</w:t>
      </w:r>
    </w:p>
    <w:p w:rsidR="00045E11" w:rsidRPr="003B4A4F" w:rsidRDefault="00045E11" w:rsidP="00045E11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</w:pPr>
      <w:r w:rsidRPr="003B4A4F">
        <w:rPr>
          <w:color w:val="000000"/>
          <w:shd w:val="clear" w:color="auto" w:fill="FFFFFF"/>
        </w:rPr>
        <w:t>Przetwarzanie danych osobowych uczestników wymiany z …..</w:t>
      </w:r>
      <w:r>
        <w:rPr>
          <w:color w:val="000000"/>
          <w:shd w:val="clear" w:color="auto" w:fill="FFFFFF"/>
        </w:rPr>
        <w:t xml:space="preserve"> </w:t>
      </w:r>
      <w:r w:rsidRPr="003B4A4F">
        <w:rPr>
          <w:color w:val="000000"/>
          <w:shd w:val="clear" w:color="auto" w:fill="FFFFFF"/>
        </w:rPr>
        <w:t xml:space="preserve">[nazwa </w:t>
      </w:r>
      <w:r w:rsidRPr="00A61132">
        <w:t>zagranicznej instytucji naukowej</w:t>
      </w:r>
      <w:r w:rsidRPr="003B4A4F">
        <w:rPr>
          <w:color w:val="000000"/>
          <w:shd w:val="clear" w:color="auto" w:fill="FFFFFF"/>
        </w:rPr>
        <w:t>] prowadzone będzie w oparciu o regulacje ochrony danych osobowych obowiązując</w:t>
      </w:r>
      <w:r>
        <w:rPr>
          <w:color w:val="000000"/>
          <w:shd w:val="clear" w:color="auto" w:fill="FFFFFF"/>
        </w:rPr>
        <w:t>e</w:t>
      </w:r>
      <w:r w:rsidRPr="003B4A4F">
        <w:rPr>
          <w:color w:val="000000"/>
          <w:shd w:val="clear" w:color="auto" w:fill="FFFFFF"/>
        </w:rPr>
        <w:t xml:space="preserve"> w Polsce. Uczelnia Macierzysta poinformuje uczestników wymiany o tym zastrzeżeniu.</w:t>
      </w:r>
    </w:p>
    <w:p w:rsidR="00045E11" w:rsidRPr="003B4A4F" w:rsidRDefault="00045E11" w:rsidP="00045E11">
      <w:pPr>
        <w:tabs>
          <w:tab w:val="left" w:pos="724"/>
        </w:tabs>
        <w:spacing w:line="276" w:lineRule="auto"/>
        <w:jc w:val="center"/>
        <w:rPr>
          <w:b/>
        </w:rPr>
      </w:pPr>
      <w:r w:rsidRPr="003B4A4F">
        <w:rPr>
          <w:b/>
        </w:rPr>
        <w:lastRenderedPageBreak/>
        <w:t>Zobowiązania Uczelni Macierzystej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</w:pPr>
      <w:r w:rsidRPr="003B4A4F">
        <w:t>Uczelnia Macierzysta odpowiada za wybór pracowników biorących udział w wymianie.</w:t>
      </w:r>
    </w:p>
    <w:p w:rsidR="00045E11" w:rsidRPr="003B4A4F" w:rsidRDefault="00045E11" w:rsidP="00045E11">
      <w:pPr>
        <w:numPr>
          <w:ilvl w:val="0"/>
          <w:numId w:val="3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 xml:space="preserve">Uczelnia Macierzysta zapewni pracownikom biorącym udział w wymianie ubezpieczenie zdrowotne i ubezpieczenie od </w:t>
      </w:r>
      <w:r>
        <w:t xml:space="preserve">następstw </w:t>
      </w:r>
      <w:r w:rsidRPr="003B4A4F">
        <w:t>nieszczęśliwych wypadków na cały okres podróży do i pobytu na Uczelni Przyjmującej.</w:t>
      </w:r>
    </w:p>
    <w:p w:rsidR="00045E11" w:rsidRPr="003B4A4F" w:rsidRDefault="00045E11" w:rsidP="00045E11">
      <w:pPr>
        <w:numPr>
          <w:ilvl w:val="0"/>
          <w:numId w:val="3"/>
        </w:numPr>
        <w:tabs>
          <w:tab w:val="left" w:pos="364"/>
        </w:tabs>
        <w:spacing w:line="276" w:lineRule="auto"/>
        <w:ind w:left="364" w:hanging="364"/>
        <w:jc w:val="both"/>
      </w:pPr>
      <w:r w:rsidRPr="003B4A4F">
        <w:t>Uczelnia Macierzysta odpowiada za wysłanie wszystkich niezbędnych dokumentów zgłoszeniowych wymaganych przez Uczelnię Przyjmującą.</w:t>
      </w:r>
    </w:p>
    <w:p w:rsidR="00045E11" w:rsidRPr="003B4A4F" w:rsidRDefault="00045E11" w:rsidP="00045E11">
      <w:pPr>
        <w:tabs>
          <w:tab w:val="left" w:pos="364"/>
        </w:tabs>
        <w:spacing w:line="276" w:lineRule="auto"/>
        <w:ind w:left="364" w:right="20"/>
        <w:jc w:val="both"/>
      </w:pPr>
    </w:p>
    <w:p w:rsidR="00045E11" w:rsidRPr="003B4A4F" w:rsidRDefault="00045E11" w:rsidP="00045E11">
      <w:pPr>
        <w:spacing w:line="276" w:lineRule="auto"/>
        <w:jc w:val="center"/>
        <w:rPr>
          <w:b/>
        </w:rPr>
      </w:pPr>
      <w:bookmarkStart w:id="0" w:name="page22"/>
      <w:bookmarkEnd w:id="0"/>
      <w:r w:rsidRPr="003B4A4F">
        <w:rPr>
          <w:b/>
        </w:rPr>
        <w:t>Zobowiązania Uczelni Przyjmującej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>Uczelnia Przyjmująca zapewni pracownikom biorącym udział w wymianie koszty pobytu: zakwaterowanie i diety / tylko zakwaterowanie</w:t>
      </w:r>
      <w:r w:rsidRPr="004D64FD">
        <w:rPr>
          <w:rFonts w:eastAsia="Symbol"/>
        </w:rPr>
        <w:t>*</w:t>
      </w:r>
      <w:r w:rsidRPr="003B4A4F">
        <w:t>.</w:t>
      </w:r>
    </w:p>
    <w:p w:rsidR="00045E11" w:rsidRPr="003B4A4F" w:rsidRDefault="00045E11" w:rsidP="00045E11">
      <w:pPr>
        <w:numPr>
          <w:ilvl w:val="0"/>
          <w:numId w:val="4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>Uczelnia Przyjmująca nie ponosi odpowiedzialności za osobiste wydatki, długi oraz za inne kosz</w:t>
      </w:r>
      <w:r>
        <w:t>t</w:t>
      </w:r>
      <w:r w:rsidRPr="003B4A4F">
        <w:t xml:space="preserve">y powstałe w związku z niniejszym Porozumieniem lub z niego wynikające. Uczelnia Przyjmująca nie ponosi odpowiedzialności za wypadki, choroby, szkody lub inne generujące koszty zdarzenia powstałe w związku z niniejszym Porozumieniem. Uczelnia Macierzysta poinformuje swoich uczestników wymiany o wyłączeniu </w:t>
      </w:r>
      <w:r>
        <w:t xml:space="preserve">takiej odpowiedzialności </w:t>
      </w:r>
      <w:r w:rsidRPr="003B4A4F">
        <w:t>Uczelni Przyjmującej.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tabs>
          <w:tab w:val="left" w:pos="2924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3B4A4F">
        <w:rPr>
          <w:b/>
        </w:rPr>
        <w:t>KOORDYNACJA POROZUMIENIA</w:t>
      </w:r>
    </w:p>
    <w:p w:rsidR="00045E11" w:rsidRPr="009E4F4A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>Każda ze Stron będzie przesyłać komunikaty i zawiadomienia dotyczące niniejszego Porozumienia drugiej Stronie na adres podany poniżej lub na inny adres podany przez Stronę w pisemnym zawiadomieniu.</w:t>
      </w:r>
    </w:p>
    <w:p w:rsidR="00045E11" w:rsidRPr="003B4A4F" w:rsidRDefault="00045E11" w:rsidP="00045E11">
      <w:pPr>
        <w:numPr>
          <w:ilvl w:val="0"/>
          <w:numId w:val="5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 xml:space="preserve">Każda ze Stron wyznaczy osobę odpowiedzialną za kontakty w związku z realizacją niniejszego Porozumienia. Ze strony Uniwersytetu Jagiellońskiego osobą odpowiedzialną za kontakty jest [imię i nazwisko, adres, telefon, e-mail]. Ze strony [nazwa </w:t>
      </w:r>
      <w:r w:rsidRPr="00A61132">
        <w:t>zagranicznej instytucji naukowej</w:t>
      </w:r>
      <w:r w:rsidRPr="003B4A4F">
        <w:t>] osobą odpowiedzialną za kontakty jest [</w:t>
      </w:r>
      <w:r>
        <w:t>i</w:t>
      </w:r>
      <w:r w:rsidRPr="003B4A4F">
        <w:t>mię i nazwisko, adres, telefon, e-mail].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tabs>
          <w:tab w:val="left" w:pos="3783"/>
        </w:tabs>
        <w:spacing w:line="276" w:lineRule="auto"/>
        <w:jc w:val="center"/>
        <w:rPr>
          <w:b/>
        </w:rPr>
      </w:pPr>
      <w:r>
        <w:rPr>
          <w:b/>
        </w:rPr>
        <w:t xml:space="preserve">4. </w:t>
      </w:r>
      <w:r w:rsidRPr="003B4A4F">
        <w:rPr>
          <w:b/>
        </w:rPr>
        <w:t>ZNAKI TOWAROWE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Default="00045E11" w:rsidP="00045E11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>Każda ze Stron udziela drugiej Stronie na okres obowiązywania niniejszego Porozumienia ograniczonej, niewyłącznej, nieodpłatnej licencji na korzystanie ze swego logo i nazwy („znaki towarowe”) wyłącznie w celach promocji niniejszego Porozumienia i wspólnych programów nauczania oraz projektów podjętych na jego podstawie.</w:t>
      </w:r>
    </w:p>
    <w:p w:rsidR="00045E11" w:rsidRDefault="00045E11" w:rsidP="00045E11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 xml:space="preserve">Każda ze Stron zobowiązuje się, że każdorazowe korzystanie z logo i nazwy drugiej Strony będzie </w:t>
      </w:r>
      <w:r>
        <w:t xml:space="preserve">odbywać się </w:t>
      </w:r>
      <w:r w:rsidRPr="003B4A4F">
        <w:t>w formie niezmienionej w stosunku do tej, która została przekazana przez każdą ze Stron.</w:t>
      </w:r>
    </w:p>
    <w:p w:rsidR="00045E11" w:rsidRDefault="00045E11" w:rsidP="00045E11">
      <w:pPr>
        <w:tabs>
          <w:tab w:val="left" w:pos="364"/>
        </w:tabs>
        <w:spacing w:line="276" w:lineRule="auto"/>
        <w:jc w:val="both"/>
      </w:pPr>
    </w:p>
    <w:p w:rsidR="00045E11" w:rsidRDefault="00045E11" w:rsidP="00045E11">
      <w:pPr>
        <w:tabs>
          <w:tab w:val="left" w:pos="364"/>
        </w:tabs>
        <w:spacing w:line="276" w:lineRule="auto"/>
        <w:jc w:val="both"/>
      </w:pPr>
    </w:p>
    <w:p w:rsidR="00045E11" w:rsidRPr="003B4A4F" w:rsidRDefault="00045E11" w:rsidP="00045E11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 xml:space="preserve">Każda ze Stron zobowiązuje się do korzystania ze znaków towarowych drugiej Strony </w:t>
      </w:r>
      <w:r>
        <w:br/>
      </w:r>
      <w:r w:rsidRPr="003B4A4F">
        <w:t xml:space="preserve">w rozważny sposób. Poza zgodami zawartymi w </w:t>
      </w:r>
      <w:r>
        <w:t>tej</w:t>
      </w:r>
      <w:r w:rsidRPr="003B4A4F">
        <w:t xml:space="preserve"> </w:t>
      </w:r>
      <w:r>
        <w:t>części</w:t>
      </w:r>
      <w:r w:rsidRPr="003B4A4F">
        <w:t xml:space="preserve"> Porozumienia, każda ze Stron zobowiązuje się do nieużywania znaków towarowych lub innej własności intelektualnej </w:t>
      </w:r>
      <w:r>
        <w:t xml:space="preserve">drugiej </w:t>
      </w:r>
      <w:r w:rsidRPr="003B4A4F">
        <w:t>Strony bez każdorazowej, uprzedniej pisemnej zgody tejże Strony.</w:t>
      </w:r>
    </w:p>
    <w:p w:rsidR="00045E11" w:rsidRPr="003B4A4F" w:rsidRDefault="00045E11" w:rsidP="00045E11">
      <w:pPr>
        <w:numPr>
          <w:ilvl w:val="0"/>
          <w:numId w:val="6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rPr>
          <w:color w:val="171717"/>
        </w:rPr>
        <w:lastRenderedPageBreak/>
        <w:t xml:space="preserve">Strony zgodnie oświadczają, iż poprzez zawarcie niniejszego Porozumienia nie nabywają żadnych praw do znaków towarowych drugiej Strony </w:t>
      </w:r>
      <w:r w:rsidRPr="003B4A4F">
        <w:rPr>
          <w:color w:val="000000"/>
        </w:rPr>
        <w:t xml:space="preserve">do celów innych niż opisane </w:t>
      </w:r>
      <w:r>
        <w:rPr>
          <w:color w:val="000000"/>
        </w:rPr>
        <w:br/>
      </w:r>
      <w:r w:rsidRPr="003B4A4F">
        <w:rPr>
          <w:color w:val="000000"/>
        </w:rPr>
        <w:t>w niniejszym</w:t>
      </w:r>
      <w:r w:rsidRPr="003B4A4F">
        <w:rPr>
          <w:color w:val="171717"/>
        </w:rPr>
        <w:t xml:space="preserve"> </w:t>
      </w:r>
      <w:r w:rsidRPr="003B4A4F">
        <w:rPr>
          <w:color w:val="000000"/>
        </w:rPr>
        <w:t>Porozumieniu. Prawo do korzystania ze znaków towarowych drugiej Strony nie może być w żaden sposób przekazane lub udostępnione bez każdorazowej, uprzedniej pisemnej zgody właściciela znaków towarowych.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tabs>
          <w:tab w:val="left" w:pos="2484"/>
        </w:tabs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3B4A4F">
        <w:rPr>
          <w:b/>
        </w:rPr>
        <w:t>ZMIANY, PRZEDŁUŻENIE</w:t>
      </w:r>
      <w:r>
        <w:rPr>
          <w:b/>
        </w:rPr>
        <w:t>,</w:t>
      </w:r>
      <w:r w:rsidRPr="003B4A4F">
        <w:rPr>
          <w:b/>
        </w:rPr>
        <w:t xml:space="preserve"> ROZWIĄZANIE</w:t>
      </w:r>
    </w:p>
    <w:p w:rsidR="00045E11" w:rsidRPr="003B4A4F" w:rsidRDefault="00045E11" w:rsidP="00045E11">
      <w:pPr>
        <w:spacing w:line="276" w:lineRule="auto"/>
        <w:jc w:val="both"/>
        <w:rPr>
          <w:b/>
        </w:rPr>
      </w:pPr>
    </w:p>
    <w:p w:rsidR="00045E11" w:rsidRPr="003B4A4F" w:rsidRDefault="00045E11" w:rsidP="00045E11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</w:pPr>
      <w:r w:rsidRPr="003B4A4F">
        <w:t>Wszelkie zmiany niniejszego Porozumienia będą dokonywane na podstawie wspólnych ustaleń i potwierdzone na piśmie. Porozumienie zostaje zawarte na okres ……. lat. Porozumienie może zostać przedłużone o okres kolejnych …… lat za obopólną zgodą wyrażoną na piśmie co najmniej sześć miesięcy przed końcem okresu obowiązywania niniejszego Porozumienia.</w:t>
      </w:r>
    </w:p>
    <w:p w:rsidR="00045E11" w:rsidRPr="008148B9" w:rsidRDefault="00045E11" w:rsidP="00045E11">
      <w:pPr>
        <w:numPr>
          <w:ilvl w:val="0"/>
          <w:numId w:val="7"/>
        </w:numPr>
        <w:tabs>
          <w:tab w:val="left" w:pos="364"/>
        </w:tabs>
        <w:spacing w:line="276" w:lineRule="auto"/>
        <w:ind w:left="357" w:hanging="357"/>
        <w:jc w:val="both"/>
        <w:rPr>
          <w:rFonts w:eastAsia="PMingLiU"/>
          <w:lang w:eastAsia="zh-TW"/>
        </w:rPr>
      </w:pPr>
      <w:r w:rsidRPr="003B4A4F">
        <w:t xml:space="preserve">Strona pragnąca rozwiązać niniejsze Porozumienie powinna wypowiedzieć je na piśmie co najmniej sześć miesięcy przed końcem okresu jego obowiązywania. W przypadku wcześniejszego rozwiązania Porozumienia, Strony podejmą niezbędne środki, aby uniknąć spowodowania szkód </w:t>
      </w:r>
      <w:r w:rsidRPr="00CD7A9E">
        <w:t>sobie nawzajem</w:t>
      </w:r>
      <w:r w:rsidRPr="003B4A4F">
        <w:t xml:space="preserve"> lub osobom trzecim. W razie wcześniejszego rozwiązania Porozumienia, Strony będą kontynuowały realizację trwających już działań aż do ich ukończenia.</w:t>
      </w:r>
    </w:p>
    <w:p w:rsidR="00045E11" w:rsidRPr="003B4A4F" w:rsidRDefault="00045E11" w:rsidP="00045E11">
      <w:pPr>
        <w:numPr>
          <w:ilvl w:val="0"/>
          <w:numId w:val="7"/>
        </w:numPr>
        <w:tabs>
          <w:tab w:val="left" w:pos="364"/>
        </w:tabs>
        <w:spacing w:line="276" w:lineRule="auto"/>
        <w:ind w:left="364" w:hanging="364"/>
        <w:jc w:val="both"/>
      </w:pPr>
      <w:r w:rsidRPr="00736B37">
        <w:t>Niniejsz</w:t>
      </w:r>
      <w:r>
        <w:t>e</w:t>
      </w:r>
      <w:r w:rsidRPr="00736B37">
        <w:t xml:space="preserve"> </w:t>
      </w:r>
      <w:r w:rsidRPr="00AB0CB0">
        <w:t>Porozumienie</w:t>
      </w:r>
      <w:r w:rsidRPr="00736B37">
        <w:t xml:space="preserve"> został</w:t>
      </w:r>
      <w:r>
        <w:t>o</w:t>
      </w:r>
      <w:r w:rsidRPr="00736B37">
        <w:t xml:space="preserve"> zawart</w:t>
      </w:r>
      <w:r>
        <w:t>e</w:t>
      </w:r>
      <w:r w:rsidRPr="00736B37">
        <w:t xml:space="preserve"> w języku angielskim w dwóch egzemplarzach. Każda ze Stron otrzymuje jeden egzemplarz oryginalnego dokumentu</w:t>
      </w:r>
      <w:r>
        <w:t>.</w:t>
      </w:r>
      <w:r w:rsidRPr="00736B37">
        <w:t xml:space="preserve"> / </w:t>
      </w:r>
      <w:r w:rsidRPr="003B4A4F">
        <w:rPr>
          <w:rFonts w:eastAsia="PMingLiU"/>
          <w:lang w:eastAsia="zh-TW"/>
        </w:rPr>
        <w:t xml:space="preserve">Niniejsze Porozumienie zostało zawarte w języku polskim i </w:t>
      </w:r>
      <w:r>
        <w:rPr>
          <w:rFonts w:eastAsia="PMingLiU"/>
          <w:lang w:eastAsia="zh-TW"/>
        </w:rPr>
        <w:t xml:space="preserve">w </w:t>
      </w:r>
      <w:r w:rsidRPr="003B4A4F">
        <w:rPr>
          <w:rFonts w:eastAsia="PMingLiU"/>
          <w:lang w:eastAsia="zh-TW"/>
        </w:rPr>
        <w:t xml:space="preserve">języku [język </w:t>
      </w:r>
      <w:r>
        <w:rPr>
          <w:rFonts w:eastAsia="PMingLiU"/>
          <w:lang w:eastAsia="zh-TW"/>
        </w:rPr>
        <w:t xml:space="preserve">urzędowy </w:t>
      </w:r>
      <w:r w:rsidRPr="00A61132">
        <w:t>zagranicznej instytucji naukowej</w:t>
      </w:r>
      <w:r w:rsidRPr="003B4A4F">
        <w:rPr>
          <w:rFonts w:eastAsia="PMingLiU"/>
          <w:lang w:eastAsia="zh-TW"/>
        </w:rPr>
        <w:t>] w czterech równorzędnych egzemplarzach.</w:t>
      </w:r>
      <w:r w:rsidRPr="003B4A4F">
        <w:rPr>
          <w:rFonts w:eastAsia="MS Mincho"/>
          <w:lang w:eastAsia="ja-JP"/>
        </w:rPr>
        <w:t xml:space="preserve"> </w:t>
      </w:r>
      <w:r w:rsidRPr="003B4A4F">
        <w:rPr>
          <w:rFonts w:eastAsia="PMingLiU"/>
          <w:lang w:eastAsia="zh-TW"/>
        </w:rPr>
        <w:t>Każda ze Stron otrzymuje jeden egzemplarz oryginalnego dokumentu w każdej wersji językowej. Wiążącym jest tekst w języku polskim.</w:t>
      </w:r>
      <w:r>
        <w:rPr>
          <w:rFonts w:eastAsia="PMingLiU"/>
          <w:lang w:eastAsia="zh-TW"/>
        </w:rPr>
        <w:t xml:space="preserve"> </w:t>
      </w:r>
      <w:r>
        <w:rPr>
          <w:rFonts w:eastAsia="PMingLiU"/>
          <w:sz w:val="22"/>
          <w:szCs w:val="22"/>
          <w:lang w:eastAsia="zh-TW"/>
        </w:rPr>
        <w:t>*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spacing w:line="276" w:lineRule="auto"/>
        <w:jc w:val="center"/>
        <w:rPr>
          <w:b/>
        </w:rPr>
      </w:pPr>
      <w:r>
        <w:rPr>
          <w:b/>
        </w:rPr>
        <w:t>6</w:t>
      </w:r>
      <w:r w:rsidRPr="003B4A4F">
        <w:rPr>
          <w:b/>
        </w:rPr>
        <w:t>. ROZWIĄZYWANIE SPORÓW</w:t>
      </w:r>
    </w:p>
    <w:p w:rsidR="00045E11" w:rsidRPr="003B4A4F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spacing w:line="276" w:lineRule="auto"/>
        <w:ind w:left="4" w:right="20"/>
        <w:jc w:val="both"/>
      </w:pPr>
      <w:r w:rsidRPr="003B4A4F">
        <w:t>Wszelkie spory wynikające z niniejszego Porozumienia lub z nim związane, których Strony nie mogą rozwiązać w drodze polubownych negocjacji, zostaną wspólnie przekazane do rozwiązania władzom obydwu Stron lub wyznaczonym przez ni</w:t>
      </w:r>
      <w:r>
        <w:t>e</w:t>
      </w:r>
      <w:r w:rsidRPr="003B4A4F">
        <w:t xml:space="preserve"> osobom. W mało prawdopodobnym przypadku braku</w:t>
      </w:r>
      <w:bookmarkStart w:id="1" w:name="page23"/>
      <w:bookmarkEnd w:id="1"/>
      <w:r>
        <w:t xml:space="preserve"> </w:t>
      </w:r>
      <w:r w:rsidRPr="003B4A4F">
        <w:t>polubownego rozwiązania sporu, spór zostanie poddany pod rozstrzygnięcie sądu właściwego dla pozwanego.</w:t>
      </w:r>
    </w:p>
    <w:p w:rsidR="00045E11" w:rsidRDefault="00045E11" w:rsidP="00045E11">
      <w:pPr>
        <w:spacing w:line="276" w:lineRule="auto"/>
        <w:jc w:val="both"/>
      </w:pPr>
    </w:p>
    <w:p w:rsidR="00045E11" w:rsidRPr="003B4A4F" w:rsidRDefault="00045E11" w:rsidP="00045E11">
      <w:pPr>
        <w:spacing w:line="276" w:lineRule="auto"/>
        <w:ind w:left="4"/>
        <w:jc w:val="both"/>
      </w:pPr>
      <w:r w:rsidRPr="003B4A4F">
        <w:t>Na dowód postanowień niniejszego Porozumienia złożone zostały podpisy:</w:t>
      </w:r>
    </w:p>
    <w:p w:rsidR="00045E11" w:rsidRDefault="00045E11" w:rsidP="00045E11">
      <w:pPr>
        <w:spacing w:line="276" w:lineRule="auto"/>
        <w:jc w:val="both"/>
      </w:pPr>
    </w:p>
    <w:p w:rsidR="00045E11" w:rsidRPr="0069565B" w:rsidRDefault="00045E11" w:rsidP="00045E11">
      <w:pPr>
        <w:tabs>
          <w:tab w:val="left" w:pos="5643"/>
        </w:tabs>
        <w:spacing w:line="276" w:lineRule="auto"/>
        <w:ind w:left="4"/>
        <w:jc w:val="both"/>
        <w:rPr>
          <w:sz w:val="22"/>
          <w:szCs w:val="22"/>
        </w:rPr>
      </w:pPr>
      <w:r w:rsidRPr="00FA7DE3">
        <w:rPr>
          <w:sz w:val="20"/>
          <w:szCs w:val="20"/>
        </w:rPr>
        <w:t>Uniwersytet Jagielloński w Krakowie</w:t>
      </w:r>
      <w:r>
        <w:rPr>
          <w:sz w:val="22"/>
          <w:szCs w:val="22"/>
        </w:rPr>
        <w:tab/>
      </w:r>
      <w:r w:rsidRPr="00FA7DE3">
        <w:rPr>
          <w:sz w:val="20"/>
          <w:szCs w:val="20"/>
        </w:rPr>
        <w:t>[nazwa zagranicznej instytucji naukowej]</w:t>
      </w:r>
    </w:p>
    <w:p w:rsidR="00045E11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tabs>
          <w:tab w:val="left" w:pos="5670"/>
        </w:tabs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___________________________</w:t>
      </w:r>
      <w:r w:rsidRPr="0069565B">
        <w:rPr>
          <w:sz w:val="22"/>
          <w:szCs w:val="22"/>
        </w:rPr>
        <w:tab/>
        <w:t>______________________________</w:t>
      </w:r>
      <w:bookmarkStart w:id="2" w:name="_GoBack"/>
      <w:bookmarkEnd w:id="2"/>
    </w:p>
    <w:p w:rsidR="00045E11" w:rsidRPr="0069565B" w:rsidRDefault="00045E11" w:rsidP="00045E11">
      <w:pPr>
        <w:tabs>
          <w:tab w:val="left" w:pos="5670"/>
        </w:tabs>
        <w:spacing w:line="276" w:lineRule="auto"/>
        <w:ind w:left="4"/>
        <w:jc w:val="both"/>
        <w:rPr>
          <w:sz w:val="22"/>
          <w:szCs w:val="22"/>
        </w:rPr>
      </w:pPr>
      <w:r w:rsidRPr="00F40618">
        <w:rPr>
          <w:sz w:val="20"/>
          <w:szCs w:val="20"/>
        </w:rPr>
        <w:t>[imię i nazwisko, funkcja]</w:t>
      </w:r>
      <w:r w:rsidRPr="0069565B">
        <w:rPr>
          <w:sz w:val="22"/>
          <w:szCs w:val="22"/>
        </w:rPr>
        <w:tab/>
      </w:r>
      <w:r w:rsidRPr="00F40618">
        <w:rPr>
          <w:sz w:val="20"/>
          <w:szCs w:val="20"/>
        </w:rPr>
        <w:t>[imię i nazwisko, funkcja]</w:t>
      </w:r>
    </w:p>
    <w:p w:rsidR="00045E11" w:rsidRDefault="00045E11" w:rsidP="00045E11">
      <w:pPr>
        <w:tabs>
          <w:tab w:val="left" w:pos="4943"/>
        </w:tabs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Kraków, dnia ………….….</w:t>
      </w:r>
      <w:r w:rsidRPr="0069565B">
        <w:rPr>
          <w:sz w:val="22"/>
          <w:szCs w:val="22"/>
        </w:rPr>
        <w:tab/>
        <w:t>…………., dnia ……………</w:t>
      </w:r>
    </w:p>
    <w:p w:rsidR="00045E11" w:rsidRPr="0069565B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Default="00045E11" w:rsidP="00045E11">
      <w:pPr>
        <w:spacing w:line="276" w:lineRule="auto"/>
        <w:ind w:left="4"/>
        <w:jc w:val="both"/>
        <w:rPr>
          <w:sz w:val="22"/>
          <w:szCs w:val="22"/>
        </w:rPr>
      </w:pPr>
    </w:p>
    <w:p w:rsidR="00045E11" w:rsidRPr="0069565B" w:rsidRDefault="00045E11" w:rsidP="00045E11">
      <w:pPr>
        <w:spacing w:line="276" w:lineRule="auto"/>
        <w:ind w:left="4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</w:t>
      </w:r>
    </w:p>
    <w:p w:rsidR="00045E11" w:rsidRPr="00F40618" w:rsidRDefault="00045E11" w:rsidP="00045E11">
      <w:pPr>
        <w:spacing w:line="276" w:lineRule="auto"/>
        <w:ind w:left="4"/>
        <w:jc w:val="both"/>
        <w:rPr>
          <w:sz w:val="20"/>
          <w:szCs w:val="20"/>
        </w:rPr>
      </w:pPr>
      <w:r w:rsidRPr="00F40618">
        <w:rPr>
          <w:sz w:val="20"/>
          <w:szCs w:val="20"/>
        </w:rPr>
        <w:t>[kontrasygnata Kwestora UJ,</w:t>
      </w:r>
    </w:p>
    <w:p w:rsidR="00045E11" w:rsidRPr="0069565B" w:rsidRDefault="00045E11" w:rsidP="00045E11">
      <w:pPr>
        <w:spacing w:line="276" w:lineRule="auto"/>
        <w:ind w:left="4"/>
        <w:jc w:val="both"/>
        <w:rPr>
          <w:sz w:val="22"/>
          <w:szCs w:val="22"/>
        </w:rPr>
      </w:pPr>
      <w:r>
        <w:rPr>
          <w:sz w:val="20"/>
          <w:szCs w:val="20"/>
        </w:rPr>
        <w:lastRenderedPageBreak/>
        <w:t>jeżeli</w:t>
      </w:r>
      <w:r w:rsidRPr="00F40618">
        <w:rPr>
          <w:sz w:val="20"/>
          <w:szCs w:val="20"/>
        </w:rPr>
        <w:t xml:space="preserve"> zachodzi taka konieczność]</w:t>
      </w:r>
    </w:p>
    <w:p w:rsidR="00045E11" w:rsidRDefault="00045E11" w:rsidP="00045E11">
      <w:pPr>
        <w:spacing w:line="276" w:lineRule="auto"/>
        <w:ind w:left="4"/>
        <w:jc w:val="both"/>
        <w:rPr>
          <w:sz w:val="16"/>
          <w:szCs w:val="16"/>
        </w:rPr>
      </w:pPr>
    </w:p>
    <w:p w:rsidR="00045E11" w:rsidRPr="008F6D81" w:rsidRDefault="00045E11" w:rsidP="00045E11">
      <w:pPr>
        <w:spacing w:line="276" w:lineRule="auto"/>
        <w:ind w:left="4"/>
        <w:jc w:val="both"/>
        <w:rPr>
          <w:sz w:val="16"/>
          <w:szCs w:val="16"/>
        </w:rPr>
      </w:pPr>
    </w:p>
    <w:p w:rsidR="00045E11" w:rsidRPr="00AC7E20" w:rsidRDefault="00045E11" w:rsidP="00045E11">
      <w:pPr>
        <w:spacing w:line="276" w:lineRule="auto"/>
        <w:ind w:left="4"/>
        <w:jc w:val="both"/>
        <w:rPr>
          <w:sz w:val="22"/>
          <w:szCs w:val="22"/>
        </w:rPr>
      </w:pPr>
      <w:r w:rsidRPr="00AC7E20">
        <w:rPr>
          <w:sz w:val="22"/>
          <w:szCs w:val="22"/>
        </w:rPr>
        <w:t>* niepotrzebne skreślić</w:t>
      </w:r>
      <w:r w:rsidRPr="00AC7E20">
        <w:rPr>
          <w:sz w:val="22"/>
          <w:szCs w:val="22"/>
        </w:rPr>
        <w:br w:type="page"/>
      </w:r>
    </w:p>
    <w:p w:rsidR="00045E11" w:rsidRPr="0069565B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spacing w:line="276" w:lineRule="auto"/>
        <w:jc w:val="both"/>
        <w:rPr>
          <w:sz w:val="22"/>
          <w:szCs w:val="22"/>
        </w:rPr>
      </w:pPr>
    </w:p>
    <w:p w:rsidR="00045E11" w:rsidRPr="0069565B" w:rsidRDefault="00045E11" w:rsidP="00045E11">
      <w:pPr>
        <w:spacing w:line="276" w:lineRule="auto"/>
        <w:ind w:right="120"/>
        <w:jc w:val="both"/>
        <w:rPr>
          <w:sz w:val="22"/>
          <w:szCs w:val="22"/>
        </w:rPr>
      </w:pPr>
      <w:r w:rsidRPr="0069565B">
        <w:rPr>
          <w:sz w:val="22"/>
          <w:szCs w:val="22"/>
        </w:rPr>
        <w:t xml:space="preserve">______________________________ </w:t>
      </w:r>
      <w:r w:rsidRPr="00FE2A7E">
        <w:rPr>
          <w:sz w:val="20"/>
          <w:szCs w:val="20"/>
        </w:rPr>
        <w:t>[imię i nazwisko, funkcja]</w:t>
      </w:r>
    </w:p>
    <w:p w:rsidR="00045E11" w:rsidRPr="003B4A4F" w:rsidRDefault="00045E11" w:rsidP="00045E11">
      <w:pPr>
        <w:spacing w:line="276" w:lineRule="auto"/>
        <w:jc w:val="both"/>
      </w:pPr>
    </w:p>
    <w:sectPr w:rsidR="00045E11" w:rsidRPr="003B4A4F" w:rsidSect="00045E11">
      <w:pgSz w:w="11900" w:h="16838"/>
      <w:pgMar w:top="966" w:right="1406" w:bottom="857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C"/>
    <w:multiLevelType w:val="hybridMultilevel"/>
    <w:tmpl w:val="73A1821A"/>
    <w:lvl w:ilvl="0" w:tplc="AE462F1E">
      <w:start w:val="1"/>
      <w:numFmt w:val="decimal"/>
      <w:lvlText w:val="%1)"/>
      <w:lvlJc w:val="left"/>
    </w:lvl>
    <w:lvl w:ilvl="1" w:tplc="0A9C7614">
      <w:start w:val="1"/>
      <w:numFmt w:val="bullet"/>
      <w:lvlText w:val=""/>
      <w:lvlJc w:val="left"/>
    </w:lvl>
    <w:lvl w:ilvl="2" w:tplc="450E8560">
      <w:start w:val="1"/>
      <w:numFmt w:val="bullet"/>
      <w:lvlText w:val=""/>
      <w:lvlJc w:val="left"/>
    </w:lvl>
    <w:lvl w:ilvl="3" w:tplc="58E83F74">
      <w:start w:val="1"/>
      <w:numFmt w:val="bullet"/>
      <w:lvlText w:val=""/>
      <w:lvlJc w:val="left"/>
    </w:lvl>
    <w:lvl w:ilvl="4" w:tplc="D8F4868A">
      <w:start w:val="1"/>
      <w:numFmt w:val="bullet"/>
      <w:lvlText w:val=""/>
      <w:lvlJc w:val="left"/>
    </w:lvl>
    <w:lvl w:ilvl="5" w:tplc="ED0CA56E">
      <w:start w:val="1"/>
      <w:numFmt w:val="bullet"/>
      <w:lvlText w:val=""/>
      <w:lvlJc w:val="left"/>
    </w:lvl>
    <w:lvl w:ilvl="6" w:tplc="192C09C4">
      <w:start w:val="1"/>
      <w:numFmt w:val="bullet"/>
      <w:lvlText w:val=""/>
      <w:lvlJc w:val="left"/>
    </w:lvl>
    <w:lvl w:ilvl="7" w:tplc="0BD40B12">
      <w:start w:val="1"/>
      <w:numFmt w:val="bullet"/>
      <w:lvlText w:val=""/>
      <w:lvlJc w:val="left"/>
    </w:lvl>
    <w:lvl w:ilvl="8" w:tplc="061CB462">
      <w:start w:val="1"/>
      <w:numFmt w:val="bullet"/>
      <w:lvlText w:val=""/>
      <w:lvlJc w:val="left"/>
    </w:lvl>
  </w:abstractNum>
  <w:abstractNum w:abstractNumId="1" w15:restartNumberingAfterBreak="0">
    <w:nsid w:val="0000004F"/>
    <w:multiLevelType w:val="hybridMultilevel"/>
    <w:tmpl w:val="2996A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62A3A16">
      <w:start w:val="2"/>
      <w:numFmt w:val="upperLetter"/>
      <w:lvlText w:val="%2."/>
      <w:lvlJc w:val="left"/>
    </w:lvl>
    <w:lvl w:ilvl="2" w:tplc="D9E47AC8">
      <w:start w:val="1"/>
      <w:numFmt w:val="upperLetter"/>
      <w:lvlText w:val="%3"/>
      <w:lvlJc w:val="left"/>
    </w:lvl>
    <w:lvl w:ilvl="3" w:tplc="B260938A">
      <w:start w:val="1"/>
      <w:numFmt w:val="bullet"/>
      <w:lvlText w:val=""/>
      <w:lvlJc w:val="left"/>
    </w:lvl>
    <w:lvl w:ilvl="4" w:tplc="AB74F92E">
      <w:start w:val="1"/>
      <w:numFmt w:val="bullet"/>
      <w:lvlText w:val=""/>
      <w:lvlJc w:val="left"/>
    </w:lvl>
    <w:lvl w:ilvl="5" w:tplc="17B02CF0">
      <w:start w:val="1"/>
      <w:numFmt w:val="bullet"/>
      <w:lvlText w:val=""/>
      <w:lvlJc w:val="left"/>
    </w:lvl>
    <w:lvl w:ilvl="6" w:tplc="500A01F6">
      <w:start w:val="1"/>
      <w:numFmt w:val="bullet"/>
      <w:lvlText w:val=""/>
      <w:lvlJc w:val="left"/>
    </w:lvl>
    <w:lvl w:ilvl="7" w:tplc="7F8699FC">
      <w:start w:val="1"/>
      <w:numFmt w:val="bullet"/>
      <w:lvlText w:val=""/>
      <w:lvlJc w:val="left"/>
    </w:lvl>
    <w:lvl w:ilvl="8" w:tplc="EE920574">
      <w:start w:val="1"/>
      <w:numFmt w:val="bullet"/>
      <w:lvlText w:val=""/>
      <w:lvlJc w:val="left"/>
    </w:lvl>
  </w:abstractNum>
  <w:abstractNum w:abstractNumId="2" w15:restartNumberingAfterBreak="0">
    <w:nsid w:val="00000050"/>
    <w:multiLevelType w:val="hybridMultilevel"/>
    <w:tmpl w:val="14FCE74E"/>
    <w:lvl w:ilvl="0" w:tplc="43A6AF70">
      <w:start w:val="1"/>
      <w:numFmt w:val="decimal"/>
      <w:lvlText w:val="%1."/>
      <w:lvlJc w:val="left"/>
    </w:lvl>
    <w:lvl w:ilvl="1" w:tplc="F032743C">
      <w:start w:val="1"/>
      <w:numFmt w:val="bullet"/>
      <w:lvlText w:val=""/>
      <w:lvlJc w:val="left"/>
    </w:lvl>
    <w:lvl w:ilvl="2" w:tplc="83C23E4E">
      <w:start w:val="1"/>
      <w:numFmt w:val="bullet"/>
      <w:lvlText w:val=""/>
      <w:lvlJc w:val="left"/>
    </w:lvl>
    <w:lvl w:ilvl="3" w:tplc="9258DEAE">
      <w:start w:val="1"/>
      <w:numFmt w:val="bullet"/>
      <w:lvlText w:val=""/>
      <w:lvlJc w:val="left"/>
    </w:lvl>
    <w:lvl w:ilvl="4" w:tplc="4356CCDA">
      <w:start w:val="1"/>
      <w:numFmt w:val="bullet"/>
      <w:lvlText w:val=""/>
      <w:lvlJc w:val="left"/>
    </w:lvl>
    <w:lvl w:ilvl="5" w:tplc="7FE616CC">
      <w:start w:val="1"/>
      <w:numFmt w:val="bullet"/>
      <w:lvlText w:val=""/>
      <w:lvlJc w:val="left"/>
    </w:lvl>
    <w:lvl w:ilvl="6" w:tplc="0ECE50D2">
      <w:start w:val="1"/>
      <w:numFmt w:val="bullet"/>
      <w:lvlText w:val=""/>
      <w:lvlJc w:val="left"/>
    </w:lvl>
    <w:lvl w:ilvl="7" w:tplc="064872DC">
      <w:start w:val="1"/>
      <w:numFmt w:val="bullet"/>
      <w:lvlText w:val=""/>
      <w:lvlJc w:val="left"/>
    </w:lvl>
    <w:lvl w:ilvl="8" w:tplc="FE7C782E">
      <w:start w:val="1"/>
      <w:numFmt w:val="bullet"/>
      <w:lvlText w:val=""/>
      <w:lvlJc w:val="left"/>
    </w:lvl>
  </w:abstractNum>
  <w:abstractNum w:abstractNumId="3" w15:restartNumberingAfterBreak="0">
    <w:nsid w:val="00000051"/>
    <w:multiLevelType w:val="hybridMultilevel"/>
    <w:tmpl w:val="6A3DD3E8"/>
    <w:lvl w:ilvl="0" w:tplc="8EB41784">
      <w:start w:val="1"/>
      <w:numFmt w:val="decimal"/>
      <w:lvlText w:val="%1."/>
      <w:lvlJc w:val="left"/>
    </w:lvl>
    <w:lvl w:ilvl="1" w:tplc="6A16346A">
      <w:start w:val="1"/>
      <w:numFmt w:val="bullet"/>
      <w:lvlText w:val=""/>
      <w:lvlJc w:val="left"/>
    </w:lvl>
    <w:lvl w:ilvl="2" w:tplc="2B1AED3E">
      <w:start w:val="1"/>
      <w:numFmt w:val="bullet"/>
      <w:lvlText w:val=""/>
      <w:lvlJc w:val="left"/>
    </w:lvl>
    <w:lvl w:ilvl="3" w:tplc="12640C06">
      <w:start w:val="1"/>
      <w:numFmt w:val="bullet"/>
      <w:lvlText w:val=""/>
      <w:lvlJc w:val="left"/>
    </w:lvl>
    <w:lvl w:ilvl="4" w:tplc="A9268C0E">
      <w:start w:val="1"/>
      <w:numFmt w:val="bullet"/>
      <w:lvlText w:val=""/>
      <w:lvlJc w:val="left"/>
    </w:lvl>
    <w:lvl w:ilvl="5" w:tplc="9BB04D84">
      <w:start w:val="1"/>
      <w:numFmt w:val="bullet"/>
      <w:lvlText w:val=""/>
      <w:lvlJc w:val="left"/>
    </w:lvl>
    <w:lvl w:ilvl="6" w:tplc="47FE28E8">
      <w:start w:val="1"/>
      <w:numFmt w:val="bullet"/>
      <w:lvlText w:val=""/>
      <w:lvlJc w:val="left"/>
    </w:lvl>
    <w:lvl w:ilvl="7" w:tplc="B40470CE">
      <w:start w:val="1"/>
      <w:numFmt w:val="bullet"/>
      <w:lvlText w:val=""/>
      <w:lvlJc w:val="left"/>
    </w:lvl>
    <w:lvl w:ilvl="8" w:tplc="F3DCE866">
      <w:start w:val="1"/>
      <w:numFmt w:val="bullet"/>
      <w:lvlText w:val=""/>
      <w:lvlJc w:val="left"/>
    </w:lvl>
  </w:abstractNum>
  <w:abstractNum w:abstractNumId="4" w15:restartNumberingAfterBreak="0">
    <w:nsid w:val="00000053"/>
    <w:multiLevelType w:val="hybridMultilevel"/>
    <w:tmpl w:val="09DAF632"/>
    <w:lvl w:ilvl="0" w:tplc="F050D32C">
      <w:start w:val="1"/>
      <w:numFmt w:val="decimal"/>
      <w:lvlText w:val="%1."/>
      <w:lvlJc w:val="left"/>
    </w:lvl>
    <w:lvl w:ilvl="1" w:tplc="B5786B22">
      <w:start w:val="1"/>
      <w:numFmt w:val="upperLetter"/>
      <w:lvlText w:val="%2"/>
      <w:lvlJc w:val="left"/>
    </w:lvl>
    <w:lvl w:ilvl="2" w:tplc="51FA6484">
      <w:start w:val="1"/>
      <w:numFmt w:val="bullet"/>
      <w:lvlText w:val=""/>
      <w:lvlJc w:val="left"/>
    </w:lvl>
    <w:lvl w:ilvl="3" w:tplc="AACA724C">
      <w:start w:val="1"/>
      <w:numFmt w:val="bullet"/>
      <w:lvlText w:val=""/>
      <w:lvlJc w:val="left"/>
    </w:lvl>
    <w:lvl w:ilvl="4" w:tplc="2F703A20">
      <w:start w:val="1"/>
      <w:numFmt w:val="bullet"/>
      <w:lvlText w:val=""/>
      <w:lvlJc w:val="left"/>
    </w:lvl>
    <w:lvl w:ilvl="5" w:tplc="6504C166">
      <w:start w:val="1"/>
      <w:numFmt w:val="bullet"/>
      <w:lvlText w:val=""/>
      <w:lvlJc w:val="left"/>
    </w:lvl>
    <w:lvl w:ilvl="6" w:tplc="1C7C4AC2">
      <w:start w:val="1"/>
      <w:numFmt w:val="bullet"/>
      <w:lvlText w:val=""/>
      <w:lvlJc w:val="left"/>
    </w:lvl>
    <w:lvl w:ilvl="7" w:tplc="66A400B6">
      <w:start w:val="1"/>
      <w:numFmt w:val="bullet"/>
      <w:lvlText w:val=""/>
      <w:lvlJc w:val="left"/>
    </w:lvl>
    <w:lvl w:ilvl="8" w:tplc="8E76C002">
      <w:start w:val="1"/>
      <w:numFmt w:val="bullet"/>
      <w:lvlText w:val=""/>
      <w:lvlJc w:val="left"/>
    </w:lvl>
  </w:abstractNum>
  <w:abstractNum w:abstractNumId="5" w15:restartNumberingAfterBreak="0">
    <w:nsid w:val="00000054"/>
    <w:multiLevelType w:val="hybridMultilevel"/>
    <w:tmpl w:val="53299938"/>
    <w:lvl w:ilvl="0" w:tplc="0602F28C">
      <w:start w:val="1"/>
      <w:numFmt w:val="decimal"/>
      <w:lvlText w:val="%1."/>
      <w:lvlJc w:val="left"/>
    </w:lvl>
    <w:lvl w:ilvl="1" w:tplc="9A5C6860">
      <w:start w:val="1"/>
      <w:numFmt w:val="bullet"/>
      <w:lvlText w:val=""/>
      <w:lvlJc w:val="left"/>
    </w:lvl>
    <w:lvl w:ilvl="2" w:tplc="BED45C02">
      <w:start w:val="1"/>
      <w:numFmt w:val="bullet"/>
      <w:lvlText w:val=""/>
      <w:lvlJc w:val="left"/>
    </w:lvl>
    <w:lvl w:ilvl="3" w:tplc="40428462">
      <w:start w:val="1"/>
      <w:numFmt w:val="bullet"/>
      <w:lvlText w:val=""/>
      <w:lvlJc w:val="left"/>
    </w:lvl>
    <w:lvl w:ilvl="4" w:tplc="38989F3C">
      <w:start w:val="1"/>
      <w:numFmt w:val="bullet"/>
      <w:lvlText w:val=""/>
      <w:lvlJc w:val="left"/>
    </w:lvl>
    <w:lvl w:ilvl="5" w:tplc="61382A40">
      <w:start w:val="1"/>
      <w:numFmt w:val="bullet"/>
      <w:lvlText w:val=""/>
      <w:lvlJc w:val="left"/>
    </w:lvl>
    <w:lvl w:ilvl="6" w:tplc="4D18F9A4">
      <w:start w:val="1"/>
      <w:numFmt w:val="bullet"/>
      <w:lvlText w:val=""/>
      <w:lvlJc w:val="left"/>
    </w:lvl>
    <w:lvl w:ilvl="7" w:tplc="CAC233DC">
      <w:start w:val="1"/>
      <w:numFmt w:val="bullet"/>
      <w:lvlText w:val=""/>
      <w:lvlJc w:val="left"/>
    </w:lvl>
    <w:lvl w:ilvl="8" w:tplc="05E6869E">
      <w:start w:val="1"/>
      <w:numFmt w:val="bullet"/>
      <w:lvlText w:val=""/>
      <w:lvlJc w:val="left"/>
    </w:lvl>
  </w:abstractNum>
  <w:abstractNum w:abstractNumId="6" w15:restartNumberingAfterBreak="0">
    <w:nsid w:val="00000056"/>
    <w:multiLevelType w:val="hybridMultilevel"/>
    <w:tmpl w:val="5092CA78"/>
    <w:lvl w:ilvl="0" w:tplc="E0281A1C">
      <w:start w:val="1"/>
      <w:numFmt w:val="decimal"/>
      <w:lvlText w:val="%1."/>
      <w:lvlJc w:val="left"/>
    </w:lvl>
    <w:lvl w:ilvl="1" w:tplc="F3FEF91E">
      <w:start w:val="1"/>
      <w:numFmt w:val="upperLetter"/>
      <w:lvlText w:val="%2"/>
      <w:lvlJc w:val="left"/>
    </w:lvl>
    <w:lvl w:ilvl="2" w:tplc="AD5E9E98">
      <w:start w:val="1"/>
      <w:numFmt w:val="bullet"/>
      <w:lvlText w:val=""/>
      <w:lvlJc w:val="left"/>
    </w:lvl>
    <w:lvl w:ilvl="3" w:tplc="C4E8B544">
      <w:start w:val="1"/>
      <w:numFmt w:val="bullet"/>
      <w:lvlText w:val=""/>
      <w:lvlJc w:val="left"/>
    </w:lvl>
    <w:lvl w:ilvl="4" w:tplc="8B3ACB36">
      <w:start w:val="1"/>
      <w:numFmt w:val="bullet"/>
      <w:lvlText w:val=""/>
      <w:lvlJc w:val="left"/>
    </w:lvl>
    <w:lvl w:ilvl="5" w:tplc="68A88AD0">
      <w:start w:val="1"/>
      <w:numFmt w:val="bullet"/>
      <w:lvlText w:val=""/>
      <w:lvlJc w:val="left"/>
    </w:lvl>
    <w:lvl w:ilvl="6" w:tplc="AF9698C0">
      <w:start w:val="1"/>
      <w:numFmt w:val="bullet"/>
      <w:lvlText w:val=""/>
      <w:lvlJc w:val="left"/>
    </w:lvl>
    <w:lvl w:ilvl="7" w:tplc="A8F42566">
      <w:start w:val="1"/>
      <w:numFmt w:val="bullet"/>
      <w:lvlText w:val=""/>
      <w:lvlJc w:val="left"/>
    </w:lvl>
    <w:lvl w:ilvl="8" w:tplc="30F469C4">
      <w:start w:val="1"/>
      <w:numFmt w:val="bullet"/>
      <w:lvlText w:val=""/>
      <w:lvlJc w:val="left"/>
    </w:lvl>
  </w:abstractNum>
  <w:abstractNum w:abstractNumId="7" w15:restartNumberingAfterBreak="0">
    <w:nsid w:val="12A46164"/>
    <w:multiLevelType w:val="hybridMultilevel"/>
    <w:tmpl w:val="C5DE927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1"/>
    <w:rsid w:val="00045E11"/>
    <w:rsid w:val="001A6D0D"/>
    <w:rsid w:val="00A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E6DB"/>
  <w15:chartTrackingRefBased/>
  <w15:docId w15:val="{386C74BC-B54B-4C70-A3FC-F46ED96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2</cp:revision>
  <dcterms:created xsi:type="dcterms:W3CDTF">2021-09-14T07:47:00Z</dcterms:created>
  <dcterms:modified xsi:type="dcterms:W3CDTF">2021-09-14T07:55:00Z</dcterms:modified>
</cp:coreProperties>
</file>